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A66" w:rsidRPr="00D26FDE" w:rsidRDefault="00C27A66" w:rsidP="00C27A66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C27A66" w:rsidRDefault="00C27A66" w:rsidP="00C27A66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C27A66" w:rsidRPr="00D26FDE" w:rsidRDefault="00C27A66" w:rsidP="00C27A66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C27A66" w:rsidRPr="00D26FDE" w:rsidRDefault="00C27A66" w:rsidP="00C27A66">
      <w:pPr>
        <w:adjustRightInd w:val="0"/>
        <w:jc w:val="center"/>
        <w:rPr>
          <w:sz w:val="24"/>
          <w:szCs w:val="24"/>
          <w:lang w:eastAsia="ru-RU"/>
        </w:rPr>
      </w:pPr>
    </w:p>
    <w:p w:rsidR="00C27A66" w:rsidRPr="00D26FDE" w:rsidRDefault="00C27A66" w:rsidP="00C27A66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C27A66" w:rsidRPr="00D26FDE" w:rsidRDefault="00C27A66" w:rsidP="00C27A66">
      <w:pPr>
        <w:ind w:left="1791" w:right="1727"/>
        <w:jc w:val="center"/>
        <w:rPr>
          <w:b/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«Клиническая психология» 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</w:t>
      </w:r>
      <w:r w:rsidRPr="00D26FDE">
        <w:rPr>
          <w:b/>
          <w:spacing w:val="2090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C27A66" w:rsidRPr="00D26FDE" w:rsidRDefault="00C27A66" w:rsidP="00C27A66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C27A66" w:rsidRDefault="00C27A66" w:rsidP="00C27A66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C27A66" w:rsidRPr="00395C4E" w:rsidRDefault="00C27A66" w:rsidP="00C27A66">
      <w:pPr>
        <w:tabs>
          <w:tab w:val="left" w:pos="709"/>
        </w:tabs>
        <w:jc w:val="both"/>
        <w:rPr>
          <w:sz w:val="24"/>
          <w:szCs w:val="24"/>
        </w:rPr>
      </w:pPr>
      <w:r w:rsidRPr="00395C4E">
        <w:rPr>
          <w:b/>
          <w:sz w:val="24"/>
          <w:szCs w:val="24"/>
        </w:rPr>
        <w:t>Названия тем лекций и количество часов по семестрам изучения учебной дисциплины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686"/>
        <w:gridCol w:w="1452"/>
      </w:tblGrid>
      <w:tr w:rsidR="00C27A66" w:rsidRPr="00395C4E" w:rsidTr="003305F7">
        <w:trPr>
          <w:trHeight w:val="838"/>
        </w:trPr>
        <w:tc>
          <w:tcPr>
            <w:tcW w:w="927" w:type="dxa"/>
            <w:vAlign w:val="center"/>
          </w:tcPr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№</w:t>
            </w:r>
          </w:p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686" w:type="dxa"/>
            <w:vAlign w:val="center"/>
          </w:tcPr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452" w:type="dxa"/>
          </w:tcPr>
          <w:p w:rsidR="00C27A66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Даты/</w:t>
            </w:r>
          </w:p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C27A66" w:rsidRPr="00395C4E" w:rsidTr="003305F7">
        <w:tc>
          <w:tcPr>
            <w:tcW w:w="927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686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t>Введение в клиническую психологию.</w:t>
            </w:r>
            <w:r w:rsidRPr="00D13988">
              <w:rPr>
                <w:sz w:val="24"/>
                <w:szCs w:val="24"/>
              </w:rPr>
              <w:t xml:space="preserve"> Теория и методология клинической психологии</w:t>
            </w:r>
          </w:p>
        </w:tc>
        <w:tc>
          <w:tcPr>
            <w:tcW w:w="1452" w:type="dxa"/>
            <w:shd w:val="clear" w:color="auto" w:fill="auto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</w:p>
        </w:tc>
      </w:tr>
      <w:tr w:rsidR="00C27A66" w:rsidRPr="00395C4E" w:rsidTr="003305F7">
        <w:tc>
          <w:tcPr>
            <w:tcW w:w="927" w:type="dxa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86" w:type="dxa"/>
          </w:tcPr>
          <w:p w:rsidR="00C27A66" w:rsidRDefault="00C27A66" w:rsidP="003305F7">
            <w:pPr>
              <w:pStyle w:val="TableParagraph"/>
              <w:jc w:val="both"/>
            </w:pPr>
            <w:r w:rsidRPr="00EA2498">
              <w:rPr>
                <w:sz w:val="24"/>
                <w:szCs w:val="24"/>
              </w:rPr>
              <w:t>Методология клинико</w:t>
            </w:r>
            <w:r>
              <w:rPr>
                <w:sz w:val="24"/>
                <w:szCs w:val="24"/>
              </w:rPr>
              <w:t>-</w:t>
            </w:r>
            <w:r w:rsidRPr="00EA2498">
              <w:rPr>
                <w:sz w:val="24"/>
                <w:szCs w:val="24"/>
              </w:rPr>
              <w:t>психологического исследования</w:t>
            </w:r>
            <w:r>
              <w:rPr>
                <w:sz w:val="24"/>
                <w:szCs w:val="24"/>
              </w:rPr>
              <w:t xml:space="preserve">. </w:t>
            </w:r>
            <w:r w:rsidRPr="00EA2498">
              <w:rPr>
                <w:sz w:val="24"/>
                <w:szCs w:val="24"/>
              </w:rPr>
              <w:t>Типология нарушений психической деятельности</w:t>
            </w:r>
          </w:p>
        </w:tc>
        <w:tc>
          <w:tcPr>
            <w:tcW w:w="1452" w:type="dxa"/>
            <w:shd w:val="clear" w:color="auto" w:fill="auto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C27A66" w:rsidRPr="00395C4E" w:rsidRDefault="00C27A66" w:rsidP="00C27A66">
            <w:pPr>
              <w:jc w:val="both"/>
              <w:rPr>
                <w:sz w:val="24"/>
                <w:szCs w:val="24"/>
              </w:rPr>
            </w:pPr>
          </w:p>
        </w:tc>
      </w:tr>
      <w:tr w:rsidR="00C27A66" w:rsidRPr="00395C4E" w:rsidTr="003305F7">
        <w:tc>
          <w:tcPr>
            <w:tcW w:w="927" w:type="dxa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86" w:type="dxa"/>
          </w:tcPr>
          <w:p w:rsidR="00C27A66" w:rsidRDefault="00C27A66" w:rsidP="003305F7">
            <w:pPr>
              <w:jc w:val="both"/>
            </w:pPr>
            <w:r w:rsidRPr="00EA2498">
              <w:rPr>
                <w:sz w:val="24"/>
                <w:szCs w:val="24"/>
              </w:rPr>
              <w:t>Реакция на тяжелый стресс. Нарушения адаптации</w:t>
            </w:r>
            <w:r>
              <w:rPr>
                <w:sz w:val="24"/>
                <w:szCs w:val="24"/>
              </w:rPr>
              <w:t xml:space="preserve">. </w:t>
            </w:r>
            <w:r w:rsidRPr="00EA2498">
              <w:rPr>
                <w:sz w:val="24"/>
                <w:szCs w:val="24"/>
              </w:rPr>
              <w:t>Пограничные психические состояни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452" w:type="dxa"/>
            <w:shd w:val="clear" w:color="auto" w:fill="auto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</w:p>
        </w:tc>
      </w:tr>
      <w:tr w:rsidR="00C27A66" w:rsidRPr="00395C4E" w:rsidTr="003305F7">
        <w:tc>
          <w:tcPr>
            <w:tcW w:w="927" w:type="dxa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86" w:type="dxa"/>
          </w:tcPr>
          <w:p w:rsidR="00C27A66" w:rsidRDefault="00C27A66" w:rsidP="003305F7">
            <w:pPr>
              <w:jc w:val="both"/>
            </w:pPr>
            <w:r w:rsidRPr="00EA2498">
              <w:rPr>
                <w:sz w:val="24"/>
                <w:szCs w:val="24"/>
              </w:rPr>
              <w:t>Акцентуации характера</w:t>
            </w:r>
            <w:r>
              <w:rPr>
                <w:sz w:val="24"/>
                <w:szCs w:val="24"/>
              </w:rPr>
              <w:t xml:space="preserve">. </w:t>
            </w:r>
            <w:r w:rsidRPr="00EA2498">
              <w:rPr>
                <w:sz w:val="24"/>
                <w:szCs w:val="24"/>
              </w:rPr>
              <w:t>Расстройства личности</w:t>
            </w:r>
          </w:p>
        </w:tc>
        <w:tc>
          <w:tcPr>
            <w:tcW w:w="1452" w:type="dxa"/>
            <w:shd w:val="clear" w:color="auto" w:fill="auto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</w:p>
        </w:tc>
      </w:tr>
      <w:tr w:rsidR="00C27A66" w:rsidRPr="00395C4E" w:rsidTr="003305F7">
        <w:tc>
          <w:tcPr>
            <w:tcW w:w="927" w:type="dxa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86" w:type="dxa"/>
          </w:tcPr>
          <w:p w:rsidR="00C27A66" w:rsidRDefault="00C27A66" w:rsidP="003305F7">
            <w:pPr>
              <w:jc w:val="both"/>
            </w:pPr>
            <w:r w:rsidRPr="006E1320">
              <w:rPr>
                <w:sz w:val="24"/>
                <w:szCs w:val="24"/>
              </w:rPr>
              <w:t>Психосоматические и соматоформные расстройства</w:t>
            </w:r>
            <w:r>
              <w:rPr>
                <w:sz w:val="24"/>
                <w:szCs w:val="24"/>
              </w:rPr>
              <w:t xml:space="preserve">. </w:t>
            </w:r>
            <w:r w:rsidRPr="008C1887">
              <w:rPr>
                <w:sz w:val="24"/>
                <w:szCs w:val="24"/>
              </w:rPr>
              <w:t>Соматические заболевания: реагирование личности на болезнь. Внутренняя картина болезни</w:t>
            </w:r>
          </w:p>
        </w:tc>
        <w:tc>
          <w:tcPr>
            <w:tcW w:w="1452" w:type="dxa"/>
            <w:shd w:val="clear" w:color="auto" w:fill="auto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</w:p>
        </w:tc>
      </w:tr>
      <w:tr w:rsidR="00C27A66" w:rsidRPr="00395C4E" w:rsidTr="003305F7">
        <w:tc>
          <w:tcPr>
            <w:tcW w:w="927" w:type="dxa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686" w:type="dxa"/>
          </w:tcPr>
          <w:p w:rsidR="00C27A66" w:rsidRDefault="00C27A66" w:rsidP="003305F7">
            <w:pPr>
              <w:jc w:val="both"/>
            </w:pPr>
            <w:r w:rsidRPr="006E1320">
              <w:rPr>
                <w:sz w:val="24"/>
                <w:szCs w:val="24"/>
              </w:rPr>
              <w:t>Типология и механизмы девиантного поведения</w:t>
            </w:r>
            <w:r>
              <w:rPr>
                <w:sz w:val="24"/>
                <w:szCs w:val="24"/>
              </w:rPr>
              <w:t xml:space="preserve">. </w:t>
            </w:r>
            <w:r w:rsidRPr="006E1320">
              <w:rPr>
                <w:sz w:val="24"/>
                <w:szCs w:val="24"/>
              </w:rPr>
              <w:t>Виды и механизмы психологической помощи</w:t>
            </w:r>
          </w:p>
        </w:tc>
        <w:tc>
          <w:tcPr>
            <w:tcW w:w="1452" w:type="dxa"/>
            <w:shd w:val="clear" w:color="auto" w:fill="auto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</w:p>
        </w:tc>
      </w:tr>
    </w:tbl>
    <w:p w:rsidR="00C27A66" w:rsidRDefault="00C27A66" w:rsidP="00C27A66">
      <w:pPr>
        <w:jc w:val="both"/>
        <w:rPr>
          <w:b/>
          <w:sz w:val="24"/>
          <w:szCs w:val="24"/>
        </w:rPr>
      </w:pPr>
    </w:p>
    <w:p w:rsidR="00C27A66" w:rsidRPr="00395C4E" w:rsidRDefault="00C27A66" w:rsidP="00C27A66">
      <w:pPr>
        <w:jc w:val="both"/>
        <w:rPr>
          <w:b/>
          <w:sz w:val="24"/>
          <w:szCs w:val="24"/>
        </w:rPr>
      </w:pPr>
      <w:r w:rsidRPr="00395C4E">
        <w:rPr>
          <w:b/>
          <w:sz w:val="24"/>
          <w:szCs w:val="24"/>
        </w:rPr>
        <w:t>Названия тем практических занятий и количество часов по семестрам изучения дисциплины</w:t>
      </w:r>
    </w:p>
    <w:tbl>
      <w:tblPr>
        <w:tblW w:w="104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578"/>
        <w:gridCol w:w="2876"/>
      </w:tblGrid>
      <w:tr w:rsidR="00C27A66" w:rsidRPr="00395C4E" w:rsidTr="003305F7">
        <w:trPr>
          <w:trHeight w:val="828"/>
        </w:trPr>
        <w:tc>
          <w:tcPr>
            <w:tcW w:w="993" w:type="dxa"/>
            <w:vAlign w:val="center"/>
          </w:tcPr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78" w:type="dxa"/>
            <w:vAlign w:val="center"/>
          </w:tcPr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Объем по семестрам</w:t>
            </w:r>
          </w:p>
        </w:tc>
      </w:tr>
      <w:tr w:rsidR="00C27A66" w:rsidRPr="00395C4E" w:rsidTr="003305F7">
        <w:trPr>
          <w:trHeight w:val="156"/>
        </w:trPr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b/>
                <w:sz w:val="24"/>
                <w:szCs w:val="24"/>
              </w:rPr>
            </w:pPr>
            <w:r w:rsidRPr="001943F0">
              <w:rPr>
                <w:sz w:val="24"/>
                <w:szCs w:val="24"/>
              </w:rPr>
              <w:t>Введение в клиническую психологи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Pr="00640E1B" w:rsidRDefault="00C27A66" w:rsidP="003305F7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395C4E">
              <w:rPr>
                <w:sz w:val="24"/>
                <w:szCs w:val="24"/>
              </w:rPr>
              <w:t>2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pStyle w:val="TableParagraph"/>
              <w:jc w:val="both"/>
              <w:rPr>
                <w:sz w:val="24"/>
                <w:szCs w:val="24"/>
              </w:rPr>
            </w:pPr>
            <w:r w:rsidRPr="00D13988">
              <w:rPr>
                <w:sz w:val="24"/>
                <w:szCs w:val="24"/>
              </w:rPr>
              <w:t>Теория и методология клинической психологии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5.03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EA2498">
              <w:rPr>
                <w:sz w:val="24"/>
                <w:szCs w:val="24"/>
              </w:rPr>
              <w:t>Методология клинико</w:t>
            </w:r>
            <w:r>
              <w:rPr>
                <w:sz w:val="24"/>
                <w:szCs w:val="24"/>
              </w:rPr>
              <w:t>-</w:t>
            </w:r>
            <w:r w:rsidRPr="00EA2498">
              <w:rPr>
                <w:sz w:val="24"/>
                <w:szCs w:val="24"/>
              </w:rPr>
              <w:t>психологического исследования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12.03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EA2498">
              <w:rPr>
                <w:sz w:val="24"/>
                <w:szCs w:val="24"/>
              </w:rPr>
              <w:t>Типология нарушений психической деятельности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19.03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EA2498">
              <w:rPr>
                <w:sz w:val="24"/>
                <w:szCs w:val="24"/>
              </w:rPr>
              <w:t xml:space="preserve">Реакция на тяжелый стресс. 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26.03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8" w:type="dxa"/>
          </w:tcPr>
          <w:p w:rsidR="00C27A66" w:rsidRPr="00EA2498" w:rsidRDefault="00C27A66" w:rsidP="003305F7">
            <w:pPr>
              <w:jc w:val="both"/>
              <w:rPr>
                <w:sz w:val="24"/>
                <w:szCs w:val="24"/>
              </w:rPr>
            </w:pPr>
            <w:r w:rsidRPr="00EA2498">
              <w:rPr>
                <w:sz w:val="24"/>
                <w:szCs w:val="24"/>
              </w:rPr>
              <w:t>Нарушения адаптации Пограничные психические состояни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2.04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EA2498">
              <w:rPr>
                <w:sz w:val="24"/>
                <w:szCs w:val="24"/>
              </w:rPr>
              <w:t>Акцентуации характера</w:t>
            </w:r>
            <w:r>
              <w:rPr>
                <w:sz w:val="24"/>
                <w:szCs w:val="24"/>
              </w:rPr>
              <w:t xml:space="preserve">. </w:t>
            </w:r>
            <w:r w:rsidRPr="00EA2498">
              <w:rPr>
                <w:sz w:val="24"/>
                <w:szCs w:val="24"/>
              </w:rPr>
              <w:t>Расстройства личности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9.04</w:t>
            </w:r>
          </w:p>
          <w:p w:rsidR="00C27A66" w:rsidRDefault="00C27A66" w:rsidP="00C27A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6E1320">
              <w:rPr>
                <w:sz w:val="24"/>
                <w:szCs w:val="24"/>
              </w:rPr>
              <w:t>Психосоматические и соматоформные расстройства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16.04</w:t>
            </w:r>
          </w:p>
          <w:p w:rsidR="00084001" w:rsidRDefault="00084001" w:rsidP="000840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8C1887">
              <w:rPr>
                <w:sz w:val="24"/>
                <w:szCs w:val="24"/>
              </w:rPr>
              <w:t>Соматические заболевания: реагирование личности на болезнь. Внутренняя картина болезни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r>
              <w:t>23.04</w:t>
            </w:r>
          </w:p>
          <w:p w:rsidR="00084001" w:rsidRDefault="00084001" w:rsidP="000840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084001" w:rsidRDefault="00084001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6E1320">
              <w:rPr>
                <w:sz w:val="24"/>
                <w:szCs w:val="24"/>
              </w:rPr>
              <w:t>Типология и механизмы девиантного поведения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  <w:p w:rsidR="00084001" w:rsidRDefault="00084001" w:rsidP="000840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16.00-18.35</w:t>
            </w:r>
          </w:p>
          <w:p w:rsidR="00C27A66" w:rsidRDefault="00C27A66" w:rsidP="003305F7"/>
        </w:tc>
      </w:tr>
      <w:tr w:rsidR="00C27A66" w:rsidRPr="00395C4E" w:rsidTr="003305F7">
        <w:tc>
          <w:tcPr>
            <w:tcW w:w="993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78" w:type="dxa"/>
          </w:tcPr>
          <w:p w:rsidR="00C27A66" w:rsidRPr="00395C4E" w:rsidRDefault="00C27A66" w:rsidP="003305F7">
            <w:pPr>
              <w:jc w:val="both"/>
              <w:rPr>
                <w:sz w:val="24"/>
                <w:szCs w:val="24"/>
              </w:rPr>
            </w:pPr>
            <w:r w:rsidRPr="006E1320">
              <w:rPr>
                <w:sz w:val="24"/>
                <w:szCs w:val="24"/>
              </w:rPr>
              <w:t>Виды и механизмы психологической помощи</w:t>
            </w:r>
          </w:p>
        </w:tc>
        <w:tc>
          <w:tcPr>
            <w:tcW w:w="0" w:type="auto"/>
            <w:shd w:val="clear" w:color="auto" w:fill="auto"/>
          </w:tcPr>
          <w:p w:rsidR="00C27A66" w:rsidRDefault="00C27A66" w:rsidP="00330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  <w:p w:rsidR="00C27A66" w:rsidRDefault="00C27A66" w:rsidP="003305F7">
            <w:r>
              <w:rPr>
                <w:sz w:val="24"/>
                <w:szCs w:val="24"/>
              </w:rPr>
              <w:t>16.00-17.50</w:t>
            </w:r>
          </w:p>
        </w:tc>
      </w:tr>
    </w:tbl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084001" w:rsidRDefault="00084001" w:rsidP="00084001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      </w:t>
      </w:r>
    </w:p>
    <w:p w:rsidR="005052A1" w:rsidRDefault="005052A1"/>
    <w:sectPr w:rsidR="0050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19"/>
    <w:rsid w:val="00084001"/>
    <w:rsid w:val="005052A1"/>
    <w:rsid w:val="00C27A66"/>
    <w:rsid w:val="00E03E19"/>
    <w:rsid w:val="00F8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B48A9"/>
  <w15:chartTrackingRefBased/>
  <w15:docId w15:val="{C512E630-1AEE-4A5A-8838-9237AF10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7A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27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2026-01-20T06:39:00Z</dcterms:created>
  <dcterms:modified xsi:type="dcterms:W3CDTF">2026-02-09T05:20:00Z</dcterms:modified>
</cp:coreProperties>
</file>